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黑体" w:hAnsi="黑体" w:eastAsia="黑体" w:cs="黑体"/>
          <w:bCs/>
          <w:sz w:val="32"/>
          <w:szCs w:val="32"/>
        </w:rPr>
      </w:pPr>
      <w:r>
        <w:rPr>
          <w:rFonts w:hint="eastAsia" w:ascii="黑体" w:hAnsi="黑体" w:eastAsia="黑体" w:cs="黑体"/>
          <w:bCs/>
          <w:sz w:val="32"/>
          <w:szCs w:val="32"/>
        </w:rPr>
        <w:t>附件</w:t>
      </w:r>
    </w:p>
    <w:p>
      <w:pPr>
        <w:spacing w:line="520" w:lineRule="exact"/>
        <w:jc w:val="center"/>
        <w:rPr>
          <w:rFonts w:ascii="宋体" w:hAnsi="宋体"/>
          <w:b/>
          <w:sz w:val="36"/>
          <w:szCs w:val="36"/>
        </w:rPr>
      </w:pPr>
      <w:r>
        <w:rPr>
          <w:rFonts w:hint="eastAsia" w:ascii="宋体" w:hAnsi="宋体"/>
          <w:b/>
          <w:sz w:val="36"/>
          <w:szCs w:val="36"/>
        </w:rPr>
        <w:t>市康宁医院新增医疗服务价格项目备案表</w:t>
      </w:r>
    </w:p>
    <w:p>
      <w:pPr>
        <w:spacing w:line="520" w:lineRule="exact"/>
        <w:jc w:val="center"/>
        <w:rPr>
          <w:rFonts w:ascii="宋体" w:hAnsi="宋体"/>
          <w:b/>
          <w:sz w:val="36"/>
          <w:szCs w:val="36"/>
        </w:rPr>
      </w:pPr>
    </w:p>
    <w:tbl>
      <w:tblPr>
        <w:tblStyle w:val="9"/>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1600"/>
        <w:gridCol w:w="2633"/>
        <w:gridCol w:w="3630"/>
        <w:gridCol w:w="1245"/>
        <w:gridCol w:w="732"/>
        <w:gridCol w:w="1660"/>
        <w:gridCol w:w="1060"/>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60" w:type="dxa"/>
            <w:tcBorders>
              <w:tl2br w:val="nil"/>
              <w:tr2bl w:val="nil"/>
            </w:tcBorders>
            <w:vAlign w:val="center"/>
          </w:tcPr>
          <w:p>
            <w:pPr>
              <w:jc w:val="center"/>
              <w:rPr>
                <w:b/>
                <w:sz w:val="24"/>
                <w:szCs w:val="24"/>
              </w:rPr>
            </w:pPr>
            <w:r>
              <w:rPr>
                <w:rFonts w:hint="eastAsia"/>
                <w:b/>
                <w:sz w:val="24"/>
                <w:szCs w:val="24"/>
              </w:rPr>
              <w:t>序号</w:t>
            </w:r>
          </w:p>
        </w:tc>
        <w:tc>
          <w:tcPr>
            <w:tcW w:w="1600" w:type="dxa"/>
            <w:tcBorders>
              <w:tl2br w:val="nil"/>
              <w:tr2bl w:val="nil"/>
            </w:tcBorders>
            <w:vAlign w:val="center"/>
          </w:tcPr>
          <w:p>
            <w:pPr>
              <w:jc w:val="center"/>
              <w:rPr>
                <w:b/>
                <w:sz w:val="24"/>
                <w:szCs w:val="24"/>
              </w:rPr>
            </w:pPr>
            <w:r>
              <w:rPr>
                <w:rFonts w:hint="eastAsia"/>
                <w:b/>
                <w:sz w:val="24"/>
                <w:szCs w:val="24"/>
              </w:rPr>
              <w:t>编码</w:t>
            </w:r>
          </w:p>
        </w:tc>
        <w:tc>
          <w:tcPr>
            <w:tcW w:w="2633" w:type="dxa"/>
            <w:tcBorders>
              <w:tl2br w:val="nil"/>
              <w:tr2bl w:val="nil"/>
            </w:tcBorders>
            <w:vAlign w:val="center"/>
          </w:tcPr>
          <w:p>
            <w:pPr>
              <w:jc w:val="center"/>
              <w:rPr>
                <w:b/>
                <w:sz w:val="24"/>
                <w:szCs w:val="24"/>
              </w:rPr>
            </w:pPr>
            <w:r>
              <w:rPr>
                <w:rFonts w:hint="eastAsia"/>
                <w:b/>
                <w:sz w:val="24"/>
                <w:szCs w:val="24"/>
              </w:rPr>
              <w:t>项目名称</w:t>
            </w:r>
          </w:p>
        </w:tc>
        <w:tc>
          <w:tcPr>
            <w:tcW w:w="3630" w:type="dxa"/>
            <w:tcBorders>
              <w:tl2br w:val="nil"/>
              <w:tr2bl w:val="nil"/>
            </w:tcBorders>
            <w:vAlign w:val="center"/>
          </w:tcPr>
          <w:p>
            <w:pPr>
              <w:jc w:val="center"/>
              <w:rPr>
                <w:b/>
                <w:sz w:val="24"/>
                <w:szCs w:val="24"/>
              </w:rPr>
            </w:pPr>
            <w:r>
              <w:rPr>
                <w:rFonts w:hint="eastAsia"/>
                <w:b/>
                <w:sz w:val="24"/>
                <w:szCs w:val="24"/>
              </w:rPr>
              <w:t>项目内涵</w:t>
            </w:r>
          </w:p>
        </w:tc>
        <w:tc>
          <w:tcPr>
            <w:tcW w:w="1245" w:type="dxa"/>
            <w:tcBorders>
              <w:tl2br w:val="nil"/>
              <w:tr2bl w:val="nil"/>
            </w:tcBorders>
            <w:vAlign w:val="center"/>
          </w:tcPr>
          <w:p>
            <w:pPr>
              <w:jc w:val="center"/>
              <w:rPr>
                <w:b/>
                <w:sz w:val="24"/>
                <w:szCs w:val="24"/>
              </w:rPr>
            </w:pPr>
            <w:r>
              <w:rPr>
                <w:rFonts w:hint="eastAsia"/>
                <w:b/>
                <w:sz w:val="24"/>
                <w:szCs w:val="24"/>
              </w:rPr>
              <w:t>除外内容</w:t>
            </w:r>
          </w:p>
        </w:tc>
        <w:tc>
          <w:tcPr>
            <w:tcW w:w="732" w:type="dxa"/>
            <w:tcBorders>
              <w:tl2br w:val="nil"/>
              <w:tr2bl w:val="nil"/>
            </w:tcBorders>
            <w:vAlign w:val="center"/>
          </w:tcPr>
          <w:p>
            <w:pPr>
              <w:jc w:val="center"/>
              <w:rPr>
                <w:b/>
                <w:sz w:val="24"/>
                <w:szCs w:val="24"/>
              </w:rPr>
            </w:pPr>
            <w:r>
              <w:rPr>
                <w:rFonts w:hint="eastAsia"/>
                <w:b/>
                <w:sz w:val="24"/>
                <w:szCs w:val="24"/>
              </w:rPr>
              <w:t>计价单位</w:t>
            </w:r>
          </w:p>
        </w:tc>
        <w:tc>
          <w:tcPr>
            <w:tcW w:w="1660" w:type="dxa"/>
            <w:tcBorders>
              <w:tl2br w:val="nil"/>
              <w:tr2bl w:val="nil"/>
            </w:tcBorders>
            <w:vAlign w:val="center"/>
          </w:tcPr>
          <w:p>
            <w:pPr>
              <w:jc w:val="center"/>
              <w:rPr>
                <w:b/>
                <w:sz w:val="24"/>
                <w:szCs w:val="24"/>
              </w:rPr>
            </w:pPr>
            <w:r>
              <w:rPr>
                <w:rFonts w:hint="eastAsia"/>
                <w:b/>
                <w:sz w:val="24"/>
                <w:szCs w:val="24"/>
              </w:rPr>
              <w:t>说明</w:t>
            </w:r>
          </w:p>
        </w:tc>
        <w:tc>
          <w:tcPr>
            <w:tcW w:w="1060" w:type="dxa"/>
            <w:tcBorders>
              <w:tl2br w:val="nil"/>
              <w:tr2bl w:val="nil"/>
            </w:tcBorders>
            <w:vAlign w:val="center"/>
          </w:tcPr>
          <w:p>
            <w:pPr>
              <w:jc w:val="center"/>
              <w:rPr>
                <w:b/>
                <w:sz w:val="24"/>
                <w:szCs w:val="24"/>
              </w:rPr>
            </w:pPr>
            <w:r>
              <w:rPr>
                <w:rFonts w:hint="eastAsia"/>
                <w:b/>
                <w:sz w:val="24"/>
                <w:szCs w:val="24"/>
              </w:rPr>
              <w:t>备案价格（元）</w:t>
            </w:r>
          </w:p>
        </w:tc>
        <w:tc>
          <w:tcPr>
            <w:tcW w:w="1300" w:type="dxa"/>
            <w:tcBorders>
              <w:tl2br w:val="nil"/>
              <w:tr2bl w:val="nil"/>
            </w:tcBorders>
            <w:vAlign w:val="center"/>
          </w:tcPr>
          <w:p>
            <w:pPr>
              <w:jc w:val="center"/>
              <w:rPr>
                <w:b/>
                <w:sz w:val="24"/>
                <w:szCs w:val="24"/>
              </w:rPr>
            </w:pPr>
            <w:r>
              <w:rPr>
                <w:rFonts w:hint="eastAsia"/>
                <w:b/>
                <w:sz w:val="24"/>
                <w:szCs w:val="24"/>
              </w:rPr>
              <w:t>执行时间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560" w:type="dxa"/>
            <w:tcBorders>
              <w:tl2br w:val="nil"/>
              <w:tr2bl w:val="nil"/>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600" w:type="dxa"/>
            <w:tcBorders>
              <w:tl2br w:val="nil"/>
              <w:tr2bl w:val="nil"/>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210500004X</w:t>
            </w:r>
          </w:p>
        </w:tc>
        <w:tc>
          <w:tcPr>
            <w:tcW w:w="2633" w:type="dxa"/>
            <w:tcBorders>
              <w:tl2br w:val="nil"/>
              <w:tr2bl w:val="nil"/>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近红外脑定量检查</w:t>
            </w:r>
          </w:p>
        </w:tc>
        <w:tc>
          <w:tcPr>
            <w:tcW w:w="3630" w:type="dxa"/>
            <w:tcBorders>
              <w:tl2br w:val="nil"/>
              <w:tr2bl w:val="nil"/>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利用近红外光检测不同认知任务下血氧浓度变化水平，评估个体注意、记忆、言语、逻辑推理、抑制与执行能力等认知功能及大脑活动状态。</w:t>
            </w:r>
          </w:p>
        </w:tc>
        <w:tc>
          <w:tcPr>
            <w:tcW w:w="1245" w:type="dxa"/>
            <w:tcBorders>
              <w:tl2br w:val="nil"/>
              <w:tr2bl w:val="nil"/>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32" w:type="dxa"/>
            <w:tcBorders>
              <w:tl2br w:val="nil"/>
              <w:tr2bl w:val="nil"/>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部位</w:t>
            </w:r>
          </w:p>
        </w:tc>
        <w:tc>
          <w:tcPr>
            <w:tcW w:w="1660" w:type="dxa"/>
            <w:tcBorders>
              <w:tl2br w:val="nil"/>
              <w:tr2bl w:val="nil"/>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60" w:type="dxa"/>
            <w:tcBorders>
              <w:tl2br w:val="nil"/>
              <w:tr2bl w:val="nil"/>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260</w:t>
            </w:r>
          </w:p>
        </w:tc>
        <w:tc>
          <w:tcPr>
            <w:tcW w:w="1300" w:type="dxa"/>
            <w:tcBorders>
              <w:tl2br w:val="nil"/>
              <w:tr2bl w:val="nil"/>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2018.9.7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560" w:type="dxa"/>
            <w:tcBorders>
              <w:tl2br w:val="nil"/>
              <w:tr2bl w:val="nil"/>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600" w:type="dxa"/>
            <w:tcBorders>
              <w:tl2br w:val="nil"/>
              <w:tr2bl w:val="nil"/>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311501001*1X</w:t>
            </w:r>
          </w:p>
        </w:tc>
        <w:tc>
          <w:tcPr>
            <w:tcW w:w="2633" w:type="dxa"/>
            <w:tcBorders>
              <w:tl2br w:val="nil"/>
              <w:tr2bl w:val="nil"/>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心境障碍问卷</w:t>
            </w:r>
          </w:p>
        </w:tc>
        <w:tc>
          <w:tcPr>
            <w:tcW w:w="3630" w:type="dxa"/>
            <w:tcBorders>
              <w:tl2br w:val="nil"/>
              <w:tr2bl w:val="nil"/>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45" w:type="dxa"/>
            <w:tcBorders>
              <w:tl2br w:val="nil"/>
              <w:tr2bl w:val="nil"/>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使用电脑自测加收50%</w:t>
            </w:r>
          </w:p>
        </w:tc>
        <w:tc>
          <w:tcPr>
            <w:tcW w:w="732" w:type="dxa"/>
            <w:tcBorders>
              <w:tl2br w:val="nil"/>
              <w:tr2bl w:val="nil"/>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次</w:t>
            </w:r>
          </w:p>
        </w:tc>
        <w:tc>
          <w:tcPr>
            <w:tcW w:w="1660" w:type="dxa"/>
            <w:tcBorders>
              <w:tl2br w:val="nil"/>
              <w:tr2bl w:val="nil"/>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60" w:type="dxa"/>
            <w:tcBorders>
              <w:tl2br w:val="nil"/>
              <w:tr2bl w:val="nil"/>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1300" w:type="dxa"/>
            <w:tcBorders>
              <w:tl2br w:val="nil"/>
              <w:tr2bl w:val="nil"/>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2018.9.7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60" w:type="dxa"/>
            <w:tcBorders>
              <w:tl2br w:val="nil"/>
              <w:tr2bl w:val="nil"/>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600" w:type="dxa"/>
            <w:tcBorders>
              <w:tl2br w:val="nil"/>
              <w:tr2bl w:val="nil"/>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311501002*1X</w:t>
            </w:r>
          </w:p>
        </w:tc>
        <w:tc>
          <w:tcPr>
            <w:tcW w:w="2633" w:type="dxa"/>
            <w:tcBorders>
              <w:tl2br w:val="nil"/>
              <w:tr2bl w:val="nil"/>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住院精神病人康复疗效评定量表(IPROS)</w:t>
            </w:r>
          </w:p>
        </w:tc>
        <w:tc>
          <w:tcPr>
            <w:tcW w:w="3630" w:type="dxa"/>
            <w:tcBorders>
              <w:tl2br w:val="nil"/>
              <w:tr2bl w:val="nil"/>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45" w:type="dxa"/>
            <w:tcBorders>
              <w:tl2br w:val="nil"/>
              <w:tr2bl w:val="nil"/>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32" w:type="dxa"/>
            <w:tcBorders>
              <w:tl2br w:val="nil"/>
              <w:tr2bl w:val="nil"/>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次</w:t>
            </w:r>
          </w:p>
        </w:tc>
        <w:tc>
          <w:tcPr>
            <w:tcW w:w="1660" w:type="dxa"/>
            <w:tcBorders>
              <w:tl2br w:val="nil"/>
              <w:tr2bl w:val="nil"/>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60" w:type="dxa"/>
            <w:tcBorders>
              <w:tl2br w:val="nil"/>
              <w:tr2bl w:val="nil"/>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50</w:t>
            </w:r>
          </w:p>
        </w:tc>
        <w:tc>
          <w:tcPr>
            <w:tcW w:w="1300" w:type="dxa"/>
            <w:tcBorders>
              <w:tl2br w:val="nil"/>
              <w:tr2bl w:val="nil"/>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2018.9.7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60" w:type="dxa"/>
            <w:tcBorders>
              <w:tl2br w:val="nil"/>
              <w:tr2bl w:val="nil"/>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600" w:type="dxa"/>
            <w:tcBorders>
              <w:tl2br w:val="nil"/>
              <w:tr2bl w:val="nil"/>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311501002*2X</w:t>
            </w:r>
          </w:p>
        </w:tc>
        <w:tc>
          <w:tcPr>
            <w:tcW w:w="2633" w:type="dxa"/>
            <w:tcBorders>
              <w:tl2br w:val="nil"/>
              <w:tr2bl w:val="nil"/>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肇事肇祸风险评估表</w:t>
            </w:r>
          </w:p>
        </w:tc>
        <w:tc>
          <w:tcPr>
            <w:tcW w:w="3630" w:type="dxa"/>
            <w:tcBorders>
              <w:tl2br w:val="nil"/>
              <w:tr2bl w:val="nil"/>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45" w:type="dxa"/>
            <w:tcBorders>
              <w:tl2br w:val="nil"/>
              <w:tr2bl w:val="nil"/>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32" w:type="dxa"/>
            <w:tcBorders>
              <w:tl2br w:val="nil"/>
              <w:tr2bl w:val="nil"/>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次</w:t>
            </w:r>
          </w:p>
        </w:tc>
        <w:tc>
          <w:tcPr>
            <w:tcW w:w="1660" w:type="dxa"/>
            <w:tcBorders>
              <w:tl2br w:val="nil"/>
              <w:tr2bl w:val="nil"/>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60" w:type="dxa"/>
            <w:tcBorders>
              <w:tl2br w:val="nil"/>
              <w:tr2bl w:val="nil"/>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1300" w:type="dxa"/>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2018.9.7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60" w:type="dxa"/>
            <w:tcBorders>
              <w:tl2br w:val="nil"/>
              <w:tr2bl w:val="nil"/>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600" w:type="dxa"/>
            <w:tcBorders>
              <w:tl2br w:val="nil"/>
              <w:tr2bl w:val="nil"/>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311501002*3X</w:t>
            </w:r>
          </w:p>
        </w:tc>
        <w:tc>
          <w:tcPr>
            <w:tcW w:w="2633" w:type="dxa"/>
            <w:tcBorders>
              <w:tl2br w:val="nil"/>
              <w:tr2bl w:val="nil"/>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自杀自伤风险评估表</w:t>
            </w:r>
          </w:p>
        </w:tc>
        <w:tc>
          <w:tcPr>
            <w:tcW w:w="3630" w:type="dxa"/>
            <w:tcBorders>
              <w:tl2br w:val="nil"/>
              <w:tr2bl w:val="nil"/>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45" w:type="dxa"/>
            <w:tcBorders>
              <w:tl2br w:val="nil"/>
              <w:tr2bl w:val="nil"/>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32" w:type="dxa"/>
            <w:tcBorders>
              <w:tl2br w:val="nil"/>
              <w:tr2bl w:val="nil"/>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次</w:t>
            </w:r>
          </w:p>
        </w:tc>
        <w:tc>
          <w:tcPr>
            <w:tcW w:w="1660" w:type="dxa"/>
            <w:tcBorders>
              <w:tl2br w:val="nil"/>
              <w:tr2bl w:val="nil"/>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60" w:type="dxa"/>
            <w:tcBorders>
              <w:tl2br w:val="nil"/>
              <w:tr2bl w:val="nil"/>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1300" w:type="dxa"/>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2018.9.7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60" w:type="dxa"/>
            <w:tcBorders>
              <w:tl2br w:val="nil"/>
              <w:tr2bl w:val="nil"/>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600" w:type="dxa"/>
            <w:tcBorders>
              <w:tl2br w:val="nil"/>
              <w:tr2bl w:val="nil"/>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311503033X</w:t>
            </w:r>
          </w:p>
        </w:tc>
        <w:tc>
          <w:tcPr>
            <w:tcW w:w="2633" w:type="dxa"/>
            <w:tcBorders>
              <w:tl2br w:val="nil"/>
              <w:tr2bl w:val="nil"/>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心理调节训练</w:t>
            </w:r>
          </w:p>
        </w:tc>
        <w:tc>
          <w:tcPr>
            <w:tcW w:w="3630" w:type="dxa"/>
            <w:tcBorders>
              <w:tl2br w:val="nil"/>
              <w:tr2bl w:val="nil"/>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45" w:type="dxa"/>
            <w:tcBorders>
              <w:tl2br w:val="nil"/>
              <w:tr2bl w:val="nil"/>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32" w:type="dxa"/>
            <w:tcBorders>
              <w:tl2br w:val="nil"/>
              <w:tr2bl w:val="nil"/>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次</w:t>
            </w:r>
          </w:p>
        </w:tc>
        <w:tc>
          <w:tcPr>
            <w:tcW w:w="1660" w:type="dxa"/>
            <w:tcBorders>
              <w:tl2br w:val="nil"/>
              <w:tr2bl w:val="nil"/>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60" w:type="dxa"/>
            <w:tcBorders>
              <w:tl2br w:val="nil"/>
              <w:tr2bl w:val="nil"/>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80</w:t>
            </w:r>
          </w:p>
        </w:tc>
        <w:tc>
          <w:tcPr>
            <w:tcW w:w="1300" w:type="dxa"/>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2018.9.7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60" w:type="dxa"/>
            <w:tcBorders>
              <w:tl2br w:val="nil"/>
              <w:tr2bl w:val="nil"/>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1600" w:type="dxa"/>
            <w:tcBorders>
              <w:tl2br w:val="nil"/>
              <w:tr2bl w:val="nil"/>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250309005*1X</w:t>
            </w:r>
          </w:p>
        </w:tc>
        <w:tc>
          <w:tcPr>
            <w:tcW w:w="2633" w:type="dxa"/>
            <w:tcBorders>
              <w:tl2br w:val="nil"/>
              <w:tr2bl w:val="nil"/>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血清药物浓度测定（液质联用法）</w:t>
            </w:r>
          </w:p>
        </w:tc>
        <w:tc>
          <w:tcPr>
            <w:tcW w:w="3630" w:type="dxa"/>
            <w:tcBorders>
              <w:tl2br w:val="nil"/>
              <w:tr2bl w:val="nil"/>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45" w:type="dxa"/>
            <w:tcBorders>
              <w:tl2br w:val="nil"/>
              <w:tr2bl w:val="nil"/>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32" w:type="dxa"/>
            <w:tcBorders>
              <w:tl2br w:val="nil"/>
              <w:tr2bl w:val="nil"/>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w:t>
            </w:r>
          </w:p>
        </w:tc>
        <w:tc>
          <w:tcPr>
            <w:tcW w:w="1660" w:type="dxa"/>
            <w:tcBorders>
              <w:tl2br w:val="nil"/>
              <w:tr2bl w:val="nil"/>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60" w:type="dxa"/>
            <w:tcBorders>
              <w:tl2br w:val="nil"/>
              <w:tr2bl w:val="nil"/>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165</w:t>
            </w:r>
          </w:p>
        </w:tc>
        <w:tc>
          <w:tcPr>
            <w:tcW w:w="1300" w:type="dxa"/>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2018.9.7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0" w:hRule="atLeast"/>
        </w:trPr>
        <w:tc>
          <w:tcPr>
            <w:tcW w:w="560" w:type="dxa"/>
            <w:tcBorders>
              <w:tl2br w:val="nil"/>
              <w:tr2bl w:val="nil"/>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600" w:type="dxa"/>
            <w:tcBorders>
              <w:tl2br w:val="nil"/>
              <w:tr2bl w:val="nil"/>
            </w:tcBorders>
            <w:vAlign w:val="center"/>
          </w:tcPr>
          <w:p>
            <w:pPr>
              <w:widowControl/>
              <w:jc w:val="left"/>
              <w:rPr>
                <w:rFonts w:ascii="宋体" w:hAnsi="宋体" w:cs="宋体"/>
                <w:kern w:val="0"/>
                <w:sz w:val="20"/>
                <w:szCs w:val="20"/>
              </w:rPr>
            </w:pPr>
            <w:r>
              <w:rPr>
                <w:rFonts w:hint="eastAsia" w:ascii="宋体" w:hAnsi="宋体" w:cs="宋体"/>
                <w:kern w:val="0"/>
                <w:sz w:val="20"/>
                <w:szCs w:val="20"/>
              </w:rPr>
              <w:t>110200001*1X</w:t>
            </w:r>
          </w:p>
        </w:tc>
        <w:tc>
          <w:tcPr>
            <w:tcW w:w="2633" w:type="dxa"/>
            <w:tcBorders>
              <w:tl2br w:val="nil"/>
              <w:tr2bl w:val="nil"/>
            </w:tcBorders>
            <w:vAlign w:val="center"/>
          </w:tcPr>
          <w:p>
            <w:pPr>
              <w:widowControl/>
              <w:jc w:val="left"/>
              <w:rPr>
                <w:rFonts w:ascii="宋体" w:hAnsi="宋体" w:cs="宋体"/>
                <w:kern w:val="0"/>
                <w:sz w:val="20"/>
                <w:szCs w:val="20"/>
              </w:rPr>
            </w:pPr>
            <w:r>
              <w:rPr>
                <w:rFonts w:hint="eastAsia" w:ascii="宋体" w:hAnsi="宋体" w:cs="宋体"/>
                <w:kern w:val="0"/>
                <w:sz w:val="20"/>
                <w:szCs w:val="20"/>
              </w:rPr>
              <w:t>专科护理门诊诊查费</w:t>
            </w:r>
          </w:p>
        </w:tc>
        <w:tc>
          <w:tcPr>
            <w:tcW w:w="3630" w:type="dxa"/>
            <w:tcBorders>
              <w:tl2br w:val="nil"/>
              <w:tr2bl w:val="nil"/>
            </w:tcBorders>
            <w:vAlign w:val="center"/>
          </w:tcPr>
          <w:p>
            <w:pPr>
              <w:widowControl/>
              <w:jc w:val="left"/>
              <w:rPr>
                <w:rFonts w:ascii="宋体" w:hAnsi="宋体" w:cs="宋体"/>
                <w:kern w:val="0"/>
                <w:sz w:val="20"/>
                <w:szCs w:val="20"/>
              </w:rPr>
            </w:pPr>
            <w:r>
              <w:rPr>
                <w:rFonts w:hint="eastAsia" w:ascii="宋体" w:hAnsi="宋体" w:cs="宋体"/>
                <w:kern w:val="0"/>
                <w:sz w:val="20"/>
                <w:szCs w:val="20"/>
              </w:rPr>
              <w:t>专科护理门诊护士利用护理门诊平台，以其专有的知识为患者提供健康评估、与治疗相关的护理管理、监测患者健康状况等诊疗服务。挂号，初建病历，核实就诊信息，就诊病历传送，病案管理。询问病情，听取患者主诉，病史采集，向患者或家属告知，进行一般护理体查，书写病历，根据病情提供有效地护理和治疗服务。（不含相关护理治疗操作）</w:t>
            </w:r>
          </w:p>
        </w:tc>
        <w:tc>
          <w:tcPr>
            <w:tcW w:w="1245" w:type="dxa"/>
            <w:tcBorders>
              <w:tl2br w:val="nil"/>
              <w:tr2bl w:val="nil"/>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32" w:type="dxa"/>
            <w:tcBorders>
              <w:tl2br w:val="nil"/>
              <w:tr2bl w:val="nil"/>
            </w:tcBorders>
            <w:vAlign w:val="center"/>
          </w:tcPr>
          <w:p>
            <w:pPr>
              <w:widowControl/>
              <w:jc w:val="center"/>
              <w:rPr>
                <w:rFonts w:ascii="宋体" w:hAnsi="宋体" w:cs="宋体"/>
                <w:kern w:val="0"/>
                <w:sz w:val="20"/>
                <w:szCs w:val="20"/>
              </w:rPr>
            </w:pPr>
            <w:r>
              <w:rPr>
                <w:rFonts w:hint="eastAsia" w:ascii="宋体" w:hAnsi="宋体" w:cs="宋体"/>
                <w:kern w:val="0"/>
                <w:sz w:val="20"/>
                <w:szCs w:val="20"/>
              </w:rPr>
              <w:t>次</w:t>
            </w:r>
          </w:p>
        </w:tc>
        <w:tc>
          <w:tcPr>
            <w:tcW w:w="1660" w:type="dxa"/>
            <w:tcBorders>
              <w:tl2br w:val="nil"/>
              <w:tr2bl w:val="nil"/>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060" w:type="dxa"/>
            <w:tcBorders>
              <w:tl2br w:val="nil"/>
              <w:tr2bl w:val="nil"/>
            </w:tcBorders>
            <w:vAlign w:val="center"/>
          </w:tcPr>
          <w:p>
            <w:pPr>
              <w:widowControl/>
              <w:jc w:val="center"/>
              <w:rPr>
                <w:rFonts w:ascii="宋体" w:hAnsi="宋体" w:cs="宋体"/>
                <w:kern w:val="0"/>
                <w:sz w:val="20"/>
                <w:szCs w:val="20"/>
              </w:rPr>
            </w:pPr>
            <w:r>
              <w:rPr>
                <w:rFonts w:hint="eastAsia" w:ascii="宋体" w:hAnsi="宋体" w:cs="宋体"/>
                <w:kern w:val="0"/>
                <w:sz w:val="20"/>
                <w:szCs w:val="20"/>
              </w:rPr>
              <w:t>30</w:t>
            </w:r>
          </w:p>
        </w:tc>
        <w:tc>
          <w:tcPr>
            <w:tcW w:w="1300" w:type="dxa"/>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2018.9.7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60" w:type="dxa"/>
            <w:tcBorders>
              <w:tl2br w:val="nil"/>
              <w:tr2bl w:val="nil"/>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1600" w:type="dxa"/>
            <w:tcBorders>
              <w:tl2br w:val="nil"/>
              <w:tr2bl w:val="nil"/>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120800003X</w:t>
            </w:r>
          </w:p>
        </w:tc>
        <w:tc>
          <w:tcPr>
            <w:tcW w:w="2633" w:type="dxa"/>
            <w:tcBorders>
              <w:tl2br w:val="nil"/>
              <w:tr2bl w:val="nil"/>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营养风险评估</w:t>
            </w:r>
          </w:p>
        </w:tc>
        <w:tc>
          <w:tcPr>
            <w:tcW w:w="3630" w:type="dxa"/>
            <w:tcBorders>
              <w:tl2br w:val="nil"/>
              <w:tr2bl w:val="nil"/>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仅限于肠内与肠外营养制剂使用前的营养风险评估。</w:t>
            </w:r>
          </w:p>
        </w:tc>
        <w:tc>
          <w:tcPr>
            <w:tcW w:w="1245" w:type="dxa"/>
            <w:tcBorders>
              <w:tl2br w:val="nil"/>
              <w:tr2bl w:val="nil"/>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32" w:type="dxa"/>
            <w:tcBorders>
              <w:tl2br w:val="nil"/>
              <w:tr2bl w:val="nil"/>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次</w:t>
            </w:r>
          </w:p>
        </w:tc>
        <w:tc>
          <w:tcPr>
            <w:tcW w:w="1660" w:type="dxa"/>
            <w:tcBorders>
              <w:tl2br w:val="nil"/>
              <w:tr2bl w:val="nil"/>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60" w:type="dxa"/>
            <w:tcBorders>
              <w:tl2br w:val="nil"/>
              <w:tr2bl w:val="nil"/>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1300" w:type="dxa"/>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2018.9.7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60" w:type="dxa"/>
            <w:tcBorders>
              <w:tl2br w:val="nil"/>
              <w:tr2bl w:val="nil"/>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600" w:type="dxa"/>
            <w:tcBorders>
              <w:tl2br w:val="nil"/>
              <w:tr2bl w:val="nil"/>
            </w:tcBorders>
            <w:vAlign w:val="center"/>
          </w:tcPr>
          <w:p>
            <w:pPr>
              <w:widowControl/>
              <w:jc w:val="left"/>
              <w:rPr>
                <w:rFonts w:ascii="宋体" w:hAnsi="宋体" w:cs="宋体"/>
                <w:kern w:val="0"/>
                <w:sz w:val="20"/>
                <w:szCs w:val="20"/>
              </w:rPr>
            </w:pPr>
            <w:r>
              <w:rPr>
                <w:rFonts w:hint="eastAsia" w:ascii="宋体" w:hAnsi="宋体" w:cs="宋体"/>
                <w:kern w:val="0"/>
                <w:sz w:val="20"/>
                <w:szCs w:val="20"/>
              </w:rPr>
              <w:t>220301002*11X</w:t>
            </w:r>
          </w:p>
        </w:tc>
        <w:tc>
          <w:tcPr>
            <w:tcW w:w="2633" w:type="dxa"/>
            <w:tcBorders>
              <w:tl2br w:val="nil"/>
              <w:tr2bl w:val="nil"/>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甲状旁腺彩色多普勒超声检查 </w:t>
            </w:r>
          </w:p>
        </w:tc>
        <w:tc>
          <w:tcPr>
            <w:tcW w:w="3630" w:type="dxa"/>
            <w:tcBorders>
              <w:tl2br w:val="nil"/>
              <w:tr2bl w:val="nil"/>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45" w:type="dxa"/>
            <w:tcBorders>
              <w:tl2br w:val="nil"/>
              <w:tr2bl w:val="nil"/>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32" w:type="dxa"/>
            <w:tcBorders>
              <w:tl2br w:val="nil"/>
              <w:tr2bl w:val="nil"/>
            </w:tcBorders>
            <w:vAlign w:val="center"/>
          </w:tcPr>
          <w:p>
            <w:pPr>
              <w:widowControl/>
              <w:jc w:val="center"/>
              <w:rPr>
                <w:rFonts w:ascii="宋体" w:hAnsi="宋体" w:cs="宋体"/>
                <w:kern w:val="0"/>
                <w:sz w:val="20"/>
                <w:szCs w:val="20"/>
              </w:rPr>
            </w:pPr>
            <w:r>
              <w:rPr>
                <w:rFonts w:hint="eastAsia" w:ascii="宋体" w:hAnsi="宋体" w:cs="宋体"/>
                <w:kern w:val="0"/>
                <w:sz w:val="20"/>
                <w:szCs w:val="20"/>
              </w:rPr>
              <w:t>部位</w:t>
            </w:r>
          </w:p>
        </w:tc>
        <w:tc>
          <w:tcPr>
            <w:tcW w:w="1660" w:type="dxa"/>
            <w:tcBorders>
              <w:tl2br w:val="nil"/>
              <w:tr2bl w:val="nil"/>
            </w:tcBorders>
            <w:vAlign w:val="center"/>
          </w:tcPr>
          <w:p>
            <w:pPr>
              <w:widowControl/>
              <w:jc w:val="left"/>
              <w:rPr>
                <w:rFonts w:ascii="宋体" w:hAnsi="宋体" w:cs="宋体"/>
                <w:kern w:val="0"/>
                <w:sz w:val="20"/>
                <w:szCs w:val="20"/>
              </w:rPr>
            </w:pPr>
            <w:r>
              <w:rPr>
                <w:rFonts w:hint="eastAsia" w:ascii="宋体" w:hAnsi="宋体" w:cs="宋体"/>
                <w:kern w:val="0"/>
                <w:sz w:val="20"/>
                <w:szCs w:val="20"/>
              </w:rPr>
              <w:t>同时进行甲状腺及颈部淋巴结彩色多普勒超声检查时，本项目减半收费。</w:t>
            </w:r>
          </w:p>
        </w:tc>
        <w:tc>
          <w:tcPr>
            <w:tcW w:w="1060" w:type="dxa"/>
            <w:tcBorders>
              <w:tl2br w:val="nil"/>
              <w:tr2bl w:val="nil"/>
            </w:tcBorders>
            <w:vAlign w:val="center"/>
          </w:tcPr>
          <w:p>
            <w:pPr>
              <w:widowControl/>
              <w:jc w:val="center"/>
              <w:rPr>
                <w:rFonts w:ascii="宋体" w:hAnsi="宋体" w:cs="宋体"/>
                <w:kern w:val="0"/>
                <w:sz w:val="20"/>
                <w:szCs w:val="20"/>
              </w:rPr>
            </w:pPr>
            <w:r>
              <w:rPr>
                <w:rFonts w:hint="eastAsia" w:ascii="宋体" w:hAnsi="宋体" w:cs="宋体"/>
                <w:kern w:val="0"/>
                <w:sz w:val="20"/>
                <w:szCs w:val="20"/>
              </w:rPr>
              <w:t>120</w:t>
            </w:r>
          </w:p>
        </w:tc>
        <w:tc>
          <w:tcPr>
            <w:tcW w:w="1300" w:type="dxa"/>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2018.9.7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60" w:type="dxa"/>
            <w:tcBorders>
              <w:tl2br w:val="nil"/>
              <w:tr2bl w:val="nil"/>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1600" w:type="dxa"/>
            <w:tcBorders>
              <w:tl2br w:val="nil"/>
              <w:tr2bl w:val="nil"/>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340200000*1X</w:t>
            </w:r>
          </w:p>
        </w:tc>
        <w:tc>
          <w:tcPr>
            <w:tcW w:w="2633" w:type="dxa"/>
            <w:tcBorders>
              <w:tl2br w:val="nil"/>
              <w:tr2bl w:val="nil"/>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康复治疗床旁加收</w:t>
            </w:r>
          </w:p>
        </w:tc>
        <w:tc>
          <w:tcPr>
            <w:tcW w:w="3630" w:type="dxa"/>
            <w:tcBorders>
              <w:tl2br w:val="nil"/>
              <w:tr2bl w:val="nil"/>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住院患者床旁康复治疗</w:t>
            </w:r>
          </w:p>
        </w:tc>
        <w:tc>
          <w:tcPr>
            <w:tcW w:w="1245" w:type="dxa"/>
            <w:tcBorders>
              <w:tl2br w:val="nil"/>
              <w:tr2bl w:val="nil"/>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32" w:type="dxa"/>
            <w:tcBorders>
              <w:tl2br w:val="nil"/>
              <w:tr2bl w:val="nil"/>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天</w:t>
            </w:r>
          </w:p>
        </w:tc>
        <w:tc>
          <w:tcPr>
            <w:tcW w:w="1660" w:type="dxa"/>
            <w:tcBorders>
              <w:tl2br w:val="nil"/>
              <w:tr2bl w:val="nil"/>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指医务人员携带康复设备至住院患者病床旁进行的治疗加收</w:t>
            </w:r>
          </w:p>
        </w:tc>
        <w:tc>
          <w:tcPr>
            <w:tcW w:w="1060" w:type="dxa"/>
            <w:tcBorders>
              <w:tl2br w:val="nil"/>
              <w:tr2bl w:val="nil"/>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1300" w:type="dxa"/>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2018.9.7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560" w:type="dxa"/>
            <w:tcBorders>
              <w:tl2br w:val="nil"/>
              <w:tr2bl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600" w:type="dxa"/>
            <w:tcBorders>
              <w:tl2br w:val="nil"/>
              <w:tr2bl w:val="nil"/>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110500002X</w:t>
            </w:r>
          </w:p>
        </w:tc>
        <w:tc>
          <w:tcPr>
            <w:tcW w:w="2633" w:type="dxa"/>
            <w:tcBorders>
              <w:tl2br w:val="nil"/>
              <w:tr2bl w:val="nil"/>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健康管理服务</w:t>
            </w:r>
          </w:p>
        </w:tc>
        <w:tc>
          <w:tcPr>
            <w:tcW w:w="3630" w:type="dxa"/>
            <w:tcBorders>
              <w:tl2br w:val="nil"/>
              <w:tr2bl w:val="nil"/>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指体检中心、病友服务中心等部门对患者建立健康档案并利用网络通讯或健康课堂等方式，为特定服务对象提供健康教育、慢性病管理、出院后回访等服务。</w:t>
            </w:r>
          </w:p>
        </w:tc>
        <w:tc>
          <w:tcPr>
            <w:tcW w:w="1245" w:type="dxa"/>
            <w:tcBorders>
              <w:tl2br w:val="nil"/>
              <w:tr2bl w:val="nil"/>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32" w:type="dxa"/>
            <w:tcBorders>
              <w:tl2br w:val="nil"/>
              <w:tr2bl w:val="nil"/>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月</w:t>
            </w:r>
          </w:p>
        </w:tc>
        <w:tc>
          <w:tcPr>
            <w:tcW w:w="1660" w:type="dxa"/>
            <w:tcBorders>
              <w:tl2br w:val="nil"/>
              <w:tr2bl w:val="nil"/>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患者自愿为原则，跟踪体检后的健康服务</w:t>
            </w:r>
          </w:p>
        </w:tc>
        <w:tc>
          <w:tcPr>
            <w:tcW w:w="1060" w:type="dxa"/>
            <w:tcBorders>
              <w:tl2br w:val="nil"/>
              <w:tr2bl w:val="nil"/>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50</w:t>
            </w:r>
          </w:p>
        </w:tc>
        <w:tc>
          <w:tcPr>
            <w:tcW w:w="1300" w:type="dxa"/>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2018.9.7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560" w:type="dxa"/>
            <w:tcBorders>
              <w:tl2br w:val="nil"/>
              <w:tr2bl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1600" w:type="dxa"/>
            <w:tcBorders>
              <w:tl2br w:val="nil"/>
              <w:tr2bl w:val="nil"/>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111000004X</w:t>
            </w:r>
          </w:p>
        </w:tc>
        <w:tc>
          <w:tcPr>
            <w:tcW w:w="2633" w:type="dxa"/>
            <w:tcBorders>
              <w:tl2br w:val="nil"/>
              <w:tr2bl w:val="nil"/>
            </w:tcBorders>
            <w:vAlign w:val="center"/>
          </w:tcPr>
          <w:p>
            <w:pPr>
              <w:widowControl/>
              <w:jc w:val="left"/>
              <w:rPr>
                <w:rFonts w:ascii="宋体" w:hAnsi="宋体" w:cs="宋体"/>
                <w:kern w:val="0"/>
                <w:sz w:val="20"/>
                <w:szCs w:val="20"/>
              </w:rPr>
            </w:pPr>
            <w:r>
              <w:rPr>
                <w:rFonts w:hint="eastAsia" w:ascii="宋体" w:hAnsi="宋体" w:cs="宋体"/>
                <w:kern w:val="0"/>
                <w:sz w:val="20"/>
                <w:szCs w:val="20"/>
              </w:rPr>
              <w:t>智能穿戴设备远程监测</w:t>
            </w:r>
          </w:p>
        </w:tc>
        <w:tc>
          <w:tcPr>
            <w:tcW w:w="3630" w:type="dxa"/>
            <w:tcBorders>
              <w:tl2br w:val="nil"/>
              <w:tr2bl w:val="nil"/>
            </w:tcBorders>
            <w:vAlign w:val="center"/>
          </w:tcPr>
          <w:p>
            <w:pPr>
              <w:widowControl/>
              <w:jc w:val="left"/>
              <w:rPr>
                <w:rFonts w:ascii="宋体" w:hAnsi="宋体" w:cs="宋体"/>
                <w:kern w:val="0"/>
                <w:sz w:val="20"/>
                <w:szCs w:val="20"/>
              </w:rPr>
            </w:pPr>
            <w:r>
              <w:rPr>
                <w:rFonts w:hint="eastAsia" w:ascii="宋体" w:hAnsi="宋体" w:cs="宋体"/>
                <w:kern w:val="0"/>
                <w:sz w:val="20"/>
                <w:szCs w:val="20"/>
              </w:rPr>
              <w:t>运用远程监测设备及后台系统监测数据，为患者提供病情监测服务。</w:t>
            </w:r>
          </w:p>
        </w:tc>
        <w:tc>
          <w:tcPr>
            <w:tcW w:w="1245" w:type="dxa"/>
            <w:tcBorders>
              <w:tl2br w:val="nil"/>
              <w:tr2bl w:val="nil"/>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32" w:type="dxa"/>
            <w:tcBorders>
              <w:tl2br w:val="nil"/>
              <w:tr2bl w:val="nil"/>
            </w:tcBorders>
            <w:vAlign w:val="center"/>
          </w:tcPr>
          <w:p>
            <w:pPr>
              <w:widowControl/>
              <w:jc w:val="center"/>
              <w:rPr>
                <w:rFonts w:ascii="宋体" w:hAnsi="宋体" w:cs="宋体"/>
                <w:kern w:val="0"/>
                <w:sz w:val="20"/>
                <w:szCs w:val="20"/>
              </w:rPr>
            </w:pPr>
            <w:r>
              <w:rPr>
                <w:rFonts w:hint="eastAsia" w:ascii="宋体" w:hAnsi="宋体" w:cs="宋体"/>
                <w:kern w:val="0"/>
                <w:sz w:val="20"/>
                <w:szCs w:val="20"/>
              </w:rPr>
              <w:t>日</w:t>
            </w:r>
          </w:p>
        </w:tc>
        <w:tc>
          <w:tcPr>
            <w:tcW w:w="1660" w:type="dxa"/>
            <w:tcBorders>
              <w:tl2br w:val="nil"/>
              <w:tr2bl w:val="nil"/>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060" w:type="dxa"/>
            <w:tcBorders>
              <w:tl2br w:val="nil"/>
              <w:tr2bl w:val="nil"/>
            </w:tcBorders>
            <w:vAlign w:val="center"/>
          </w:tcPr>
          <w:p>
            <w:pPr>
              <w:widowControl/>
              <w:jc w:val="center"/>
              <w:rPr>
                <w:rFonts w:ascii="宋体" w:hAnsi="宋体" w:cs="宋体"/>
                <w:kern w:val="0"/>
                <w:sz w:val="20"/>
                <w:szCs w:val="20"/>
              </w:rPr>
            </w:pPr>
            <w:r>
              <w:rPr>
                <w:rFonts w:hint="eastAsia" w:ascii="宋体" w:hAnsi="宋体" w:cs="宋体"/>
                <w:kern w:val="0"/>
                <w:sz w:val="20"/>
                <w:szCs w:val="20"/>
              </w:rPr>
              <w:t>80</w:t>
            </w:r>
          </w:p>
        </w:tc>
        <w:tc>
          <w:tcPr>
            <w:tcW w:w="1300" w:type="dxa"/>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2018.9.7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60" w:type="dxa"/>
            <w:tcBorders>
              <w:tl2br w:val="nil"/>
              <w:tr2bl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1600" w:type="dxa"/>
            <w:tcBorders>
              <w:tl2br w:val="nil"/>
              <w:tr2bl w:val="nil"/>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120400002*2X</w:t>
            </w:r>
          </w:p>
        </w:tc>
        <w:tc>
          <w:tcPr>
            <w:tcW w:w="2633" w:type="dxa"/>
            <w:tcBorders>
              <w:tl2br w:val="nil"/>
              <w:tr2bl w:val="nil"/>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小儿末梢采血</w:t>
            </w:r>
          </w:p>
        </w:tc>
        <w:tc>
          <w:tcPr>
            <w:tcW w:w="3630" w:type="dxa"/>
            <w:tcBorders>
              <w:tl2br w:val="nil"/>
              <w:tr2bl w:val="nil"/>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末梢血标本采集（使用触压式采血针）</w:t>
            </w:r>
          </w:p>
        </w:tc>
        <w:tc>
          <w:tcPr>
            <w:tcW w:w="1245" w:type="dxa"/>
            <w:tcBorders>
              <w:tl2br w:val="nil"/>
              <w:tr2bl w:val="nil"/>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32" w:type="dxa"/>
            <w:tcBorders>
              <w:tl2br w:val="nil"/>
              <w:tr2bl w:val="nil"/>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次</w:t>
            </w:r>
          </w:p>
        </w:tc>
        <w:tc>
          <w:tcPr>
            <w:tcW w:w="1660" w:type="dxa"/>
            <w:tcBorders>
              <w:tl2br w:val="nil"/>
              <w:tr2bl w:val="nil"/>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60" w:type="dxa"/>
            <w:tcBorders>
              <w:tl2br w:val="nil"/>
              <w:tr2bl w:val="nil"/>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4.6</w:t>
            </w:r>
          </w:p>
        </w:tc>
        <w:tc>
          <w:tcPr>
            <w:tcW w:w="1300" w:type="dxa"/>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2018.9.7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trPr>
        <w:tc>
          <w:tcPr>
            <w:tcW w:w="560" w:type="dxa"/>
            <w:tcBorders>
              <w:tl2br w:val="nil"/>
              <w:tr2bl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600" w:type="dxa"/>
            <w:tcBorders>
              <w:tl2br w:val="nil"/>
              <w:tr2bl w:val="nil"/>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330100015*6X</w:t>
            </w:r>
          </w:p>
        </w:tc>
        <w:tc>
          <w:tcPr>
            <w:tcW w:w="2633" w:type="dxa"/>
            <w:tcBorders>
              <w:tl2br w:val="nil"/>
              <w:tr2bl w:val="nil"/>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麻醉后复苏监护（PACU）</w:t>
            </w:r>
          </w:p>
        </w:tc>
        <w:tc>
          <w:tcPr>
            <w:tcW w:w="3630" w:type="dxa"/>
            <w:tcBorders>
              <w:tl2br w:val="nil"/>
              <w:tr2bl w:val="nil"/>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麻醉后监护病室应有必要的循环呼吸监测设备，包括心电、无创血压、脉搏血氧饱和度及呼气未二氧化碳浓度等的监测。有条件者还应有肌松监测和体温监测。2、急救设备：包括气管内插管用具、简易呼吸器、氧气吸入器、吸痰器、人工呼吸器、麻醉机、除颤器等。</w:t>
            </w:r>
          </w:p>
        </w:tc>
        <w:tc>
          <w:tcPr>
            <w:tcW w:w="1245" w:type="dxa"/>
            <w:tcBorders>
              <w:tl2br w:val="nil"/>
              <w:tr2bl w:val="nil"/>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药品</w:t>
            </w:r>
          </w:p>
        </w:tc>
        <w:tc>
          <w:tcPr>
            <w:tcW w:w="732" w:type="dxa"/>
            <w:tcBorders>
              <w:tl2br w:val="nil"/>
              <w:tr2bl w:val="nil"/>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次</w:t>
            </w:r>
          </w:p>
        </w:tc>
        <w:tc>
          <w:tcPr>
            <w:tcW w:w="1660" w:type="dxa"/>
            <w:tcBorders>
              <w:tl2br w:val="nil"/>
              <w:tr2bl w:val="nil"/>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病人在麻醉后监护病室内所发生的各类设备费、麻醉费、抢救费等一切费用均不得另收。</w:t>
            </w:r>
          </w:p>
        </w:tc>
        <w:tc>
          <w:tcPr>
            <w:tcW w:w="1060" w:type="dxa"/>
            <w:tcBorders>
              <w:tl2br w:val="nil"/>
              <w:tr2bl w:val="nil"/>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200</w:t>
            </w:r>
          </w:p>
        </w:tc>
        <w:tc>
          <w:tcPr>
            <w:tcW w:w="1300" w:type="dxa"/>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2018.9.7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560" w:type="dxa"/>
            <w:tcBorders>
              <w:tl2br w:val="nil"/>
              <w:tr2bl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1600" w:type="dxa"/>
            <w:tcBorders>
              <w:tl2br w:val="nil"/>
              <w:tr2bl w:val="nil"/>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340200043X</w:t>
            </w:r>
          </w:p>
        </w:tc>
        <w:tc>
          <w:tcPr>
            <w:tcW w:w="2633" w:type="dxa"/>
            <w:tcBorders>
              <w:tl2br w:val="nil"/>
              <w:tr2bl w:val="nil"/>
            </w:tcBorders>
            <w:vAlign w:val="center"/>
          </w:tcPr>
          <w:p>
            <w:pPr>
              <w:widowControl/>
              <w:jc w:val="left"/>
              <w:rPr>
                <w:rFonts w:ascii="宋体" w:hAnsi="宋体" w:cs="宋体"/>
                <w:kern w:val="0"/>
                <w:sz w:val="20"/>
                <w:szCs w:val="20"/>
              </w:rPr>
            </w:pPr>
            <w:r>
              <w:rPr>
                <w:rFonts w:hint="eastAsia" w:ascii="宋体" w:hAnsi="宋体" w:cs="宋体"/>
                <w:kern w:val="0"/>
                <w:sz w:val="20"/>
                <w:szCs w:val="20"/>
              </w:rPr>
              <w:t>疼痛综合评定</w:t>
            </w:r>
          </w:p>
        </w:tc>
        <w:tc>
          <w:tcPr>
            <w:tcW w:w="3630" w:type="dxa"/>
            <w:tcBorders>
              <w:tl2br w:val="nil"/>
              <w:tr2bl w:val="nil"/>
            </w:tcBorders>
            <w:vAlign w:val="center"/>
          </w:tcPr>
          <w:p>
            <w:pPr>
              <w:widowControl/>
              <w:jc w:val="left"/>
              <w:rPr>
                <w:rFonts w:ascii="宋体" w:hAnsi="宋体" w:cs="宋体"/>
                <w:kern w:val="0"/>
                <w:sz w:val="20"/>
                <w:szCs w:val="20"/>
              </w:rPr>
            </w:pPr>
            <w:r>
              <w:rPr>
                <w:rFonts w:hint="eastAsia" w:ascii="宋体" w:hAnsi="宋体" w:cs="宋体"/>
                <w:kern w:val="0"/>
                <w:sz w:val="20"/>
                <w:szCs w:val="20"/>
              </w:rPr>
              <w:t>进行麦吉尔疼痛问卷评定，视觉模拟评分法评定，慢性疼痛状况分级等，对患者疼痛的部位、程度、性质、频率和对日常生活的影响等方面进行综合评定。人工报告。</w:t>
            </w:r>
          </w:p>
        </w:tc>
        <w:tc>
          <w:tcPr>
            <w:tcW w:w="1245" w:type="dxa"/>
            <w:tcBorders>
              <w:tl2br w:val="nil"/>
              <w:tr2bl w:val="nil"/>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32" w:type="dxa"/>
            <w:tcBorders>
              <w:tl2br w:val="nil"/>
              <w:tr2bl w:val="nil"/>
            </w:tcBorders>
            <w:vAlign w:val="center"/>
          </w:tcPr>
          <w:p>
            <w:pPr>
              <w:widowControl/>
              <w:jc w:val="center"/>
              <w:rPr>
                <w:rFonts w:ascii="宋体" w:hAnsi="宋体" w:cs="宋体"/>
                <w:kern w:val="0"/>
                <w:sz w:val="20"/>
                <w:szCs w:val="20"/>
              </w:rPr>
            </w:pPr>
            <w:r>
              <w:rPr>
                <w:rFonts w:hint="eastAsia" w:ascii="宋体" w:hAnsi="宋体" w:cs="宋体"/>
                <w:kern w:val="0"/>
                <w:sz w:val="20"/>
                <w:szCs w:val="20"/>
              </w:rPr>
              <w:t>次</w:t>
            </w:r>
          </w:p>
        </w:tc>
        <w:tc>
          <w:tcPr>
            <w:tcW w:w="1660" w:type="dxa"/>
            <w:tcBorders>
              <w:tl2br w:val="nil"/>
              <w:tr2bl w:val="nil"/>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060" w:type="dxa"/>
            <w:tcBorders>
              <w:tl2br w:val="nil"/>
              <w:tr2bl w:val="nil"/>
            </w:tcBorders>
            <w:vAlign w:val="center"/>
          </w:tcPr>
          <w:p>
            <w:pPr>
              <w:widowControl/>
              <w:jc w:val="center"/>
              <w:rPr>
                <w:rFonts w:ascii="宋体" w:hAnsi="宋体" w:cs="宋体"/>
                <w:kern w:val="0"/>
                <w:sz w:val="20"/>
                <w:szCs w:val="20"/>
              </w:rPr>
            </w:pPr>
            <w:r>
              <w:rPr>
                <w:rFonts w:hint="eastAsia" w:ascii="宋体" w:hAnsi="宋体" w:cs="宋体"/>
                <w:kern w:val="0"/>
                <w:sz w:val="20"/>
                <w:szCs w:val="20"/>
              </w:rPr>
              <w:t>20</w:t>
            </w:r>
          </w:p>
        </w:tc>
        <w:tc>
          <w:tcPr>
            <w:tcW w:w="1300" w:type="dxa"/>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2018.9.7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5" w:hRule="atLeast"/>
        </w:trPr>
        <w:tc>
          <w:tcPr>
            <w:tcW w:w="560" w:type="dxa"/>
            <w:tcBorders>
              <w:tl2br w:val="nil"/>
              <w:tr2bl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1600" w:type="dxa"/>
            <w:tcBorders>
              <w:tl2br w:val="nil"/>
              <w:tr2bl w:val="nil"/>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250306016X</w:t>
            </w:r>
          </w:p>
        </w:tc>
        <w:tc>
          <w:tcPr>
            <w:tcW w:w="2633" w:type="dxa"/>
            <w:tcBorders>
              <w:tl2br w:val="nil"/>
              <w:tr2bl w:val="nil"/>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可溶性生长刺激表达基因2蛋白（ST2）定量检测</w:t>
            </w:r>
          </w:p>
        </w:tc>
        <w:tc>
          <w:tcPr>
            <w:tcW w:w="3630" w:type="dxa"/>
            <w:tcBorders>
              <w:tl2br w:val="nil"/>
              <w:tr2bl w:val="nil"/>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类型：血清。样本采集、签收、处理，定标和质控，检测样本，审核结果，录入实验室信息系统或人工登记，发送报告；按规定处理废弃物；接受临床相关咨询。采用酶免方法检测样本中的ST2浓度，使用已包被相关抗体的酶标板捕获样本中的相关抗体，通过振荡、孵育、洗板后，使用酶标仪比色，通过标准曲线计算得出相应的ST2浓度并通过LIS系统将结果录入。</w:t>
            </w:r>
          </w:p>
        </w:tc>
        <w:tc>
          <w:tcPr>
            <w:tcW w:w="1245" w:type="dxa"/>
            <w:tcBorders>
              <w:tl2br w:val="nil"/>
              <w:tr2bl w:val="nil"/>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32" w:type="dxa"/>
            <w:tcBorders>
              <w:tl2br w:val="nil"/>
              <w:tr2bl w:val="nil"/>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次</w:t>
            </w:r>
          </w:p>
        </w:tc>
        <w:tc>
          <w:tcPr>
            <w:tcW w:w="1660" w:type="dxa"/>
            <w:tcBorders>
              <w:tl2br w:val="nil"/>
              <w:tr2bl w:val="nil"/>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060" w:type="dxa"/>
            <w:tcBorders>
              <w:tl2br w:val="nil"/>
              <w:tr2bl w:val="nil"/>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320</w:t>
            </w:r>
          </w:p>
        </w:tc>
        <w:tc>
          <w:tcPr>
            <w:tcW w:w="1300" w:type="dxa"/>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2018.9.7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0" w:type="dxa"/>
            <w:tcBorders>
              <w:tl2br w:val="nil"/>
              <w:tr2bl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1600" w:type="dxa"/>
            <w:tcBorders>
              <w:tl2br w:val="nil"/>
              <w:tr2bl w:val="nil"/>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250310065X</w:t>
            </w:r>
          </w:p>
        </w:tc>
        <w:tc>
          <w:tcPr>
            <w:tcW w:w="2633" w:type="dxa"/>
            <w:tcBorders>
              <w:tl2br w:val="nil"/>
              <w:tr2bl w:val="nil"/>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脂联素测定(ADPN)</w:t>
            </w:r>
          </w:p>
        </w:tc>
        <w:tc>
          <w:tcPr>
            <w:tcW w:w="3630" w:type="dxa"/>
            <w:tcBorders>
              <w:tl2br w:val="nil"/>
              <w:tr2bl w:val="nil"/>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化学发光法</w:t>
            </w:r>
          </w:p>
        </w:tc>
        <w:tc>
          <w:tcPr>
            <w:tcW w:w="1245" w:type="dxa"/>
            <w:tcBorders>
              <w:tl2br w:val="nil"/>
              <w:tr2bl w:val="nil"/>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32" w:type="dxa"/>
            <w:tcBorders>
              <w:tl2br w:val="nil"/>
              <w:tr2bl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次</w:t>
            </w:r>
          </w:p>
        </w:tc>
        <w:tc>
          <w:tcPr>
            <w:tcW w:w="1660" w:type="dxa"/>
            <w:tcBorders>
              <w:tl2br w:val="nil"/>
              <w:tr2bl w:val="nil"/>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60" w:type="dxa"/>
            <w:tcBorders>
              <w:tl2br w:val="nil"/>
              <w:tr2bl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45</w:t>
            </w:r>
          </w:p>
        </w:tc>
        <w:tc>
          <w:tcPr>
            <w:tcW w:w="1300" w:type="dxa"/>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2018.9.7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0" w:type="dxa"/>
            <w:tcBorders>
              <w:tl2br w:val="nil"/>
              <w:tr2bl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1600" w:type="dxa"/>
            <w:tcBorders>
              <w:tl2br w:val="nil"/>
              <w:tr2bl w:val="nil"/>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250310066X</w:t>
            </w:r>
          </w:p>
        </w:tc>
        <w:tc>
          <w:tcPr>
            <w:tcW w:w="2633" w:type="dxa"/>
            <w:tcBorders>
              <w:tl2br w:val="nil"/>
              <w:tr2bl w:val="nil"/>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抗缪勒氏管激素(AMH)测定</w:t>
            </w:r>
          </w:p>
        </w:tc>
        <w:tc>
          <w:tcPr>
            <w:tcW w:w="3630" w:type="dxa"/>
            <w:tcBorders>
              <w:tl2br w:val="nil"/>
              <w:tr2bl w:val="nil"/>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45" w:type="dxa"/>
            <w:tcBorders>
              <w:tl2br w:val="nil"/>
              <w:tr2bl w:val="nil"/>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32" w:type="dxa"/>
            <w:tcBorders>
              <w:tl2br w:val="nil"/>
              <w:tr2bl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w:t>
            </w:r>
          </w:p>
        </w:tc>
        <w:tc>
          <w:tcPr>
            <w:tcW w:w="1660" w:type="dxa"/>
            <w:tcBorders>
              <w:tl2br w:val="nil"/>
              <w:tr2bl w:val="nil"/>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60" w:type="dxa"/>
            <w:tcBorders>
              <w:tl2br w:val="nil"/>
              <w:tr2bl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320</w:t>
            </w:r>
          </w:p>
        </w:tc>
        <w:tc>
          <w:tcPr>
            <w:tcW w:w="1300" w:type="dxa"/>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2018.9.7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0" w:type="dxa"/>
            <w:tcBorders>
              <w:tl2br w:val="nil"/>
              <w:tr2bl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1600" w:type="dxa"/>
            <w:tcBorders>
              <w:tl2br w:val="nil"/>
              <w:tr2bl w:val="nil"/>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250402066X</w:t>
            </w:r>
          </w:p>
        </w:tc>
        <w:tc>
          <w:tcPr>
            <w:tcW w:w="2633" w:type="dxa"/>
            <w:tcBorders>
              <w:tl2br w:val="nil"/>
              <w:tr2bl w:val="nil"/>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抗磷脂酶A2受体抗体测定</w:t>
            </w:r>
          </w:p>
        </w:tc>
        <w:tc>
          <w:tcPr>
            <w:tcW w:w="3630" w:type="dxa"/>
            <w:tcBorders>
              <w:tl2br w:val="nil"/>
              <w:tr2bl w:val="nil"/>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45" w:type="dxa"/>
            <w:tcBorders>
              <w:tl2br w:val="nil"/>
              <w:tr2bl w:val="nil"/>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32" w:type="dxa"/>
            <w:tcBorders>
              <w:tl2br w:val="nil"/>
              <w:tr2bl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w:t>
            </w:r>
          </w:p>
        </w:tc>
        <w:tc>
          <w:tcPr>
            <w:tcW w:w="1660" w:type="dxa"/>
            <w:tcBorders>
              <w:tl2br w:val="nil"/>
              <w:tr2bl w:val="nil"/>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60" w:type="dxa"/>
            <w:tcBorders>
              <w:tl2br w:val="nil"/>
              <w:tr2bl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120</w:t>
            </w:r>
          </w:p>
        </w:tc>
        <w:tc>
          <w:tcPr>
            <w:tcW w:w="1300" w:type="dxa"/>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2018.9.7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60" w:type="dxa"/>
            <w:tcBorders>
              <w:tl2br w:val="nil"/>
              <w:tr2bl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21</w:t>
            </w:r>
          </w:p>
        </w:tc>
        <w:tc>
          <w:tcPr>
            <w:tcW w:w="1600" w:type="dxa"/>
            <w:tcBorders>
              <w:tl2br w:val="nil"/>
              <w:tr2bl w:val="nil"/>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250403090X</w:t>
            </w:r>
          </w:p>
        </w:tc>
        <w:tc>
          <w:tcPr>
            <w:tcW w:w="2633" w:type="dxa"/>
            <w:tcBorders>
              <w:tl2br w:val="nil"/>
              <w:tr2bl w:val="nil"/>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高敏乙型肝炎病毒DNA定量检测</w:t>
            </w:r>
          </w:p>
        </w:tc>
        <w:tc>
          <w:tcPr>
            <w:tcW w:w="3630" w:type="dxa"/>
            <w:tcBorders>
              <w:tl2br w:val="nil"/>
              <w:tr2bl w:val="nil"/>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实时荧光定量PCR法,检测灵敏度10 IU/ml</w:t>
            </w:r>
          </w:p>
        </w:tc>
        <w:tc>
          <w:tcPr>
            <w:tcW w:w="1245" w:type="dxa"/>
            <w:tcBorders>
              <w:tl2br w:val="nil"/>
              <w:tr2bl w:val="nil"/>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32" w:type="dxa"/>
            <w:tcBorders>
              <w:tl2br w:val="nil"/>
              <w:tr2bl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次</w:t>
            </w:r>
          </w:p>
        </w:tc>
        <w:tc>
          <w:tcPr>
            <w:tcW w:w="1660" w:type="dxa"/>
            <w:tcBorders>
              <w:tl2br w:val="nil"/>
              <w:tr2bl w:val="nil"/>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含有阳性内对照</w:t>
            </w:r>
          </w:p>
        </w:tc>
        <w:tc>
          <w:tcPr>
            <w:tcW w:w="1060" w:type="dxa"/>
            <w:tcBorders>
              <w:tl2br w:val="nil"/>
              <w:tr2bl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300</w:t>
            </w:r>
          </w:p>
        </w:tc>
        <w:tc>
          <w:tcPr>
            <w:tcW w:w="1300" w:type="dxa"/>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2018.9.7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60" w:type="dxa"/>
            <w:tcBorders>
              <w:tl2br w:val="nil"/>
              <w:tr2bl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22</w:t>
            </w:r>
          </w:p>
        </w:tc>
        <w:tc>
          <w:tcPr>
            <w:tcW w:w="1600" w:type="dxa"/>
            <w:tcBorders>
              <w:tl2br w:val="nil"/>
              <w:tr2bl w:val="nil"/>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250403091X</w:t>
            </w:r>
          </w:p>
        </w:tc>
        <w:tc>
          <w:tcPr>
            <w:tcW w:w="2633" w:type="dxa"/>
            <w:tcBorders>
              <w:tl2br w:val="nil"/>
              <w:tr2bl w:val="nil"/>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高敏丙型肝炎病毒RNA定量检测</w:t>
            </w:r>
          </w:p>
        </w:tc>
        <w:tc>
          <w:tcPr>
            <w:tcW w:w="3630" w:type="dxa"/>
            <w:tcBorders>
              <w:tl2br w:val="nil"/>
              <w:tr2bl w:val="nil"/>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实时荧光定量PCR法,检测灵敏度25 IU/ml</w:t>
            </w:r>
          </w:p>
        </w:tc>
        <w:tc>
          <w:tcPr>
            <w:tcW w:w="1245" w:type="dxa"/>
            <w:tcBorders>
              <w:tl2br w:val="nil"/>
              <w:tr2bl w:val="nil"/>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32" w:type="dxa"/>
            <w:tcBorders>
              <w:tl2br w:val="nil"/>
              <w:tr2bl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次</w:t>
            </w:r>
          </w:p>
        </w:tc>
        <w:tc>
          <w:tcPr>
            <w:tcW w:w="1660" w:type="dxa"/>
            <w:tcBorders>
              <w:tl2br w:val="nil"/>
              <w:tr2bl w:val="nil"/>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含有阳性内对照</w:t>
            </w:r>
          </w:p>
        </w:tc>
        <w:tc>
          <w:tcPr>
            <w:tcW w:w="1060" w:type="dxa"/>
            <w:tcBorders>
              <w:tl2br w:val="nil"/>
              <w:tr2bl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260</w:t>
            </w:r>
          </w:p>
        </w:tc>
        <w:tc>
          <w:tcPr>
            <w:tcW w:w="1300" w:type="dxa"/>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2018.9.7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60" w:type="dxa"/>
            <w:tcBorders>
              <w:tl2br w:val="nil"/>
              <w:tr2bl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23</w:t>
            </w:r>
          </w:p>
        </w:tc>
        <w:tc>
          <w:tcPr>
            <w:tcW w:w="1600" w:type="dxa"/>
            <w:tcBorders>
              <w:tl2br w:val="nil"/>
              <w:tr2bl w:val="nil"/>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250403092X</w:t>
            </w:r>
          </w:p>
        </w:tc>
        <w:tc>
          <w:tcPr>
            <w:tcW w:w="2633" w:type="dxa"/>
            <w:tcBorders>
              <w:tl2br w:val="nil"/>
              <w:tr2bl w:val="nil"/>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高敏人类免疫缺陷病毒－核糖核酸扩增定量检测</w:t>
            </w:r>
          </w:p>
        </w:tc>
        <w:tc>
          <w:tcPr>
            <w:tcW w:w="3630" w:type="dxa"/>
            <w:tcBorders>
              <w:tl2br w:val="nil"/>
              <w:tr2bl w:val="nil"/>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45" w:type="dxa"/>
            <w:tcBorders>
              <w:tl2br w:val="nil"/>
              <w:tr2bl w:val="nil"/>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32" w:type="dxa"/>
            <w:tcBorders>
              <w:tl2br w:val="nil"/>
              <w:tr2bl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次</w:t>
            </w:r>
          </w:p>
        </w:tc>
        <w:tc>
          <w:tcPr>
            <w:tcW w:w="1660" w:type="dxa"/>
            <w:tcBorders>
              <w:tl2br w:val="nil"/>
              <w:tr2bl w:val="nil"/>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60" w:type="dxa"/>
            <w:tcBorders>
              <w:tl2br w:val="nil"/>
              <w:tr2bl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700</w:t>
            </w:r>
          </w:p>
        </w:tc>
        <w:tc>
          <w:tcPr>
            <w:tcW w:w="1300" w:type="dxa"/>
            <w:tcBorders>
              <w:tl2br w:val="nil"/>
              <w:tr2bl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2018.9.7</w:t>
            </w:r>
          </w:p>
        </w:tc>
      </w:tr>
    </w:tbl>
    <w:p>
      <w:pPr>
        <w:spacing w:line="520" w:lineRule="exact"/>
        <w:jc w:val="center"/>
        <w:rPr>
          <w:rFonts w:ascii="宋体" w:hAnsi="宋体"/>
          <w:b/>
          <w:sz w:val="36"/>
          <w:szCs w:val="36"/>
        </w:rPr>
      </w:pPr>
    </w:p>
    <w:p>
      <w:pPr>
        <w:spacing w:line="100" w:lineRule="exact"/>
      </w:pPr>
    </w:p>
    <w:sectPr>
      <w:headerReference r:id="rId3" w:type="default"/>
      <w:footerReference r:id="rId4" w:type="default"/>
      <w:pgSz w:w="16838" w:h="11906" w:orient="landscape"/>
      <w:pgMar w:top="1531" w:right="2098" w:bottom="1418" w:left="1474" w:header="851" w:footer="136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小标宋">
    <w:altName w:val="Arial Unicode MS"/>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doNotCompress"/>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35296"/>
    <w:rsid w:val="00073AE2"/>
    <w:rsid w:val="0008123E"/>
    <w:rsid w:val="000B3C62"/>
    <w:rsid w:val="000E1CB7"/>
    <w:rsid w:val="000F0895"/>
    <w:rsid w:val="00102B2A"/>
    <w:rsid w:val="001142CA"/>
    <w:rsid w:val="0015118B"/>
    <w:rsid w:val="00172A27"/>
    <w:rsid w:val="001A0DED"/>
    <w:rsid w:val="00264DC5"/>
    <w:rsid w:val="002B4C67"/>
    <w:rsid w:val="002C6AF0"/>
    <w:rsid w:val="002D3C48"/>
    <w:rsid w:val="00323482"/>
    <w:rsid w:val="00333E1C"/>
    <w:rsid w:val="003872F8"/>
    <w:rsid w:val="003A3409"/>
    <w:rsid w:val="003C1D7E"/>
    <w:rsid w:val="003E24A0"/>
    <w:rsid w:val="003E6E61"/>
    <w:rsid w:val="003F7F3C"/>
    <w:rsid w:val="00441F6E"/>
    <w:rsid w:val="004619CC"/>
    <w:rsid w:val="00466F19"/>
    <w:rsid w:val="00497620"/>
    <w:rsid w:val="004A2208"/>
    <w:rsid w:val="004B1E5C"/>
    <w:rsid w:val="004C7D49"/>
    <w:rsid w:val="004F56D8"/>
    <w:rsid w:val="00502E5C"/>
    <w:rsid w:val="005C62BC"/>
    <w:rsid w:val="00673E83"/>
    <w:rsid w:val="006A2186"/>
    <w:rsid w:val="006B3CB2"/>
    <w:rsid w:val="00705718"/>
    <w:rsid w:val="00727570"/>
    <w:rsid w:val="007323FE"/>
    <w:rsid w:val="00753C4B"/>
    <w:rsid w:val="00772DF4"/>
    <w:rsid w:val="00773DCB"/>
    <w:rsid w:val="007C5F6B"/>
    <w:rsid w:val="007F686B"/>
    <w:rsid w:val="00822D88"/>
    <w:rsid w:val="008276A6"/>
    <w:rsid w:val="00866449"/>
    <w:rsid w:val="008835D7"/>
    <w:rsid w:val="00896E57"/>
    <w:rsid w:val="008B34BF"/>
    <w:rsid w:val="008C524A"/>
    <w:rsid w:val="008F7F27"/>
    <w:rsid w:val="0091677C"/>
    <w:rsid w:val="009A59B9"/>
    <w:rsid w:val="009B20D8"/>
    <w:rsid w:val="009F5262"/>
    <w:rsid w:val="00A00451"/>
    <w:rsid w:val="00A31B8F"/>
    <w:rsid w:val="00A356E7"/>
    <w:rsid w:val="00A3616D"/>
    <w:rsid w:val="00A44E18"/>
    <w:rsid w:val="00A51724"/>
    <w:rsid w:val="00A93951"/>
    <w:rsid w:val="00AA4477"/>
    <w:rsid w:val="00AB4204"/>
    <w:rsid w:val="00AD4060"/>
    <w:rsid w:val="00AD7EAD"/>
    <w:rsid w:val="00AE612F"/>
    <w:rsid w:val="00AE7064"/>
    <w:rsid w:val="00AF1943"/>
    <w:rsid w:val="00B62B84"/>
    <w:rsid w:val="00B927BD"/>
    <w:rsid w:val="00BD0B91"/>
    <w:rsid w:val="00BE335E"/>
    <w:rsid w:val="00C34F20"/>
    <w:rsid w:val="00C56EFA"/>
    <w:rsid w:val="00C62FFC"/>
    <w:rsid w:val="00CC7E8D"/>
    <w:rsid w:val="00D039C1"/>
    <w:rsid w:val="00D30E95"/>
    <w:rsid w:val="00D32F4A"/>
    <w:rsid w:val="00D8382B"/>
    <w:rsid w:val="00DA090B"/>
    <w:rsid w:val="00DA6070"/>
    <w:rsid w:val="00DB4E69"/>
    <w:rsid w:val="00DC6170"/>
    <w:rsid w:val="00DE2D64"/>
    <w:rsid w:val="00E03242"/>
    <w:rsid w:val="00E36856"/>
    <w:rsid w:val="00E842B7"/>
    <w:rsid w:val="00EA04A3"/>
    <w:rsid w:val="00EC243C"/>
    <w:rsid w:val="00EE045C"/>
    <w:rsid w:val="00F046F6"/>
    <w:rsid w:val="00F62996"/>
    <w:rsid w:val="00F774B9"/>
    <w:rsid w:val="00F7758E"/>
    <w:rsid w:val="00F83590"/>
    <w:rsid w:val="00F861C5"/>
    <w:rsid w:val="00F868AB"/>
    <w:rsid w:val="00F967F6"/>
    <w:rsid w:val="00F97AB4"/>
    <w:rsid w:val="00FD4199"/>
    <w:rsid w:val="03D55098"/>
    <w:rsid w:val="072D6257"/>
    <w:rsid w:val="077A0674"/>
    <w:rsid w:val="08102553"/>
    <w:rsid w:val="082F6BD9"/>
    <w:rsid w:val="086D0C6F"/>
    <w:rsid w:val="0A0273B0"/>
    <w:rsid w:val="0AE52710"/>
    <w:rsid w:val="0CCB34CD"/>
    <w:rsid w:val="0E0A5EAE"/>
    <w:rsid w:val="15830EA3"/>
    <w:rsid w:val="15C6561F"/>
    <w:rsid w:val="17C42BA0"/>
    <w:rsid w:val="182B0F38"/>
    <w:rsid w:val="189D1BF8"/>
    <w:rsid w:val="197850E7"/>
    <w:rsid w:val="1B380C7A"/>
    <w:rsid w:val="1BE55CB6"/>
    <w:rsid w:val="1CB31C52"/>
    <w:rsid w:val="1E0B36E9"/>
    <w:rsid w:val="1E7B10C6"/>
    <w:rsid w:val="20B261AB"/>
    <w:rsid w:val="223911B5"/>
    <w:rsid w:val="22FD59B3"/>
    <w:rsid w:val="25DB2844"/>
    <w:rsid w:val="28EB53DB"/>
    <w:rsid w:val="2AE0263B"/>
    <w:rsid w:val="2F587CEF"/>
    <w:rsid w:val="311E2457"/>
    <w:rsid w:val="32660305"/>
    <w:rsid w:val="32901C51"/>
    <w:rsid w:val="34396638"/>
    <w:rsid w:val="35FB28FB"/>
    <w:rsid w:val="369D3A34"/>
    <w:rsid w:val="36D923AA"/>
    <w:rsid w:val="3F041414"/>
    <w:rsid w:val="40A53F36"/>
    <w:rsid w:val="421753AF"/>
    <w:rsid w:val="43BC7AE5"/>
    <w:rsid w:val="464011D6"/>
    <w:rsid w:val="46E72E00"/>
    <w:rsid w:val="4BA67AF0"/>
    <w:rsid w:val="4D22641B"/>
    <w:rsid w:val="53E86765"/>
    <w:rsid w:val="558F38CB"/>
    <w:rsid w:val="56AF45B9"/>
    <w:rsid w:val="56ED7668"/>
    <w:rsid w:val="57A205F1"/>
    <w:rsid w:val="57D01252"/>
    <w:rsid w:val="589F05C2"/>
    <w:rsid w:val="5999343B"/>
    <w:rsid w:val="5D2F466C"/>
    <w:rsid w:val="5D937F8A"/>
    <w:rsid w:val="5F5E2F9B"/>
    <w:rsid w:val="63F8276C"/>
    <w:rsid w:val="671F671B"/>
    <w:rsid w:val="6C5908FA"/>
    <w:rsid w:val="6DA938EC"/>
    <w:rsid w:val="6EB82783"/>
    <w:rsid w:val="70BE0854"/>
    <w:rsid w:val="76105D3D"/>
    <w:rsid w:val="77D9684B"/>
    <w:rsid w:val="78B72900"/>
    <w:rsid w:val="792A61BA"/>
    <w:rsid w:val="7B573C09"/>
    <w:rsid w:val="7DC17572"/>
    <w:rsid w:val="7E597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6"/>
    <w:unhideWhenUsed/>
    <w:uiPriority w:val="0"/>
    <w:pPr>
      <w:spacing w:line="240" w:lineRule="atLeast"/>
    </w:pPr>
    <w:rPr>
      <w:rFonts w:ascii="Times New Roman" w:hAnsi="Times New Roman" w:eastAsia="小标宋"/>
      <w:sz w:val="44"/>
      <w:szCs w:val="20"/>
    </w:rPr>
  </w:style>
  <w:style w:type="paragraph" w:styleId="3">
    <w:name w:val="Body Text Indent"/>
    <w:basedOn w:val="1"/>
    <w:uiPriority w:val="0"/>
    <w:pPr>
      <w:spacing w:after="120"/>
      <w:ind w:left="420" w:leftChars="200"/>
    </w:pPr>
  </w:style>
  <w:style w:type="paragraph" w:styleId="4">
    <w:name w:val="Date"/>
    <w:basedOn w:val="1"/>
    <w:next w:val="1"/>
    <w:link w:val="15"/>
    <w:semiHidden/>
    <w:uiPriority w:val="99"/>
    <w:pPr>
      <w:ind w:left="100" w:leftChars="2500"/>
    </w:pPr>
  </w:style>
  <w:style w:type="paragraph" w:styleId="5">
    <w:name w:val="Balloon Text"/>
    <w:basedOn w:val="1"/>
    <w:link w:val="12"/>
    <w:semiHidden/>
    <w:uiPriority w:val="99"/>
    <w:rPr>
      <w:sz w:val="18"/>
      <w:szCs w:val="18"/>
    </w:rPr>
  </w:style>
  <w:style w:type="paragraph" w:styleId="6">
    <w:name w:val="footer"/>
    <w:basedOn w:val="1"/>
    <w:link w:val="13"/>
    <w:semiHidden/>
    <w:uiPriority w:val="99"/>
    <w:pPr>
      <w:tabs>
        <w:tab w:val="center" w:pos="4153"/>
        <w:tab w:val="right" w:pos="8306"/>
      </w:tabs>
      <w:snapToGrid w:val="0"/>
      <w:jc w:val="left"/>
    </w:pPr>
    <w:rPr>
      <w:sz w:val="18"/>
      <w:szCs w:val="18"/>
    </w:rPr>
  </w:style>
  <w:style w:type="paragraph" w:styleId="7">
    <w:name w:val="header"/>
    <w:basedOn w:val="1"/>
    <w:link w:val="14"/>
    <w:semiHidden/>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0"/>
    <w:pPr>
      <w:widowControl/>
      <w:spacing w:before="100" w:beforeAutospacing="1" w:after="100" w:afterAutospacing="1"/>
      <w:jc w:val="left"/>
    </w:pPr>
    <w:rPr>
      <w:rFonts w:ascii="宋体" w:hAnsi="宋体" w:cs="宋体"/>
      <w:color w:val="000000"/>
      <w:kern w:val="0"/>
      <w:sz w:val="24"/>
      <w:szCs w:val="24"/>
    </w:rPr>
  </w:style>
  <w:style w:type="character" w:styleId="11">
    <w:name w:val="page number"/>
    <w:basedOn w:val="10"/>
    <w:uiPriority w:val="0"/>
  </w:style>
  <w:style w:type="character" w:customStyle="1" w:styleId="12">
    <w:name w:val="批注框文本 Char"/>
    <w:basedOn w:val="10"/>
    <w:link w:val="5"/>
    <w:semiHidden/>
    <w:locked/>
    <w:uiPriority w:val="99"/>
    <w:rPr>
      <w:rFonts w:cs="Times New Roman"/>
      <w:sz w:val="2"/>
    </w:rPr>
  </w:style>
  <w:style w:type="character" w:customStyle="1" w:styleId="13">
    <w:name w:val="页脚 Char"/>
    <w:basedOn w:val="10"/>
    <w:link w:val="6"/>
    <w:semiHidden/>
    <w:locked/>
    <w:uiPriority w:val="99"/>
    <w:rPr>
      <w:rFonts w:cs="Times New Roman"/>
      <w:sz w:val="18"/>
      <w:szCs w:val="18"/>
    </w:rPr>
  </w:style>
  <w:style w:type="character" w:customStyle="1" w:styleId="14">
    <w:name w:val="页眉 Char"/>
    <w:basedOn w:val="10"/>
    <w:link w:val="7"/>
    <w:semiHidden/>
    <w:qFormat/>
    <w:locked/>
    <w:uiPriority w:val="99"/>
    <w:rPr>
      <w:rFonts w:cs="Times New Roman"/>
      <w:sz w:val="18"/>
      <w:szCs w:val="18"/>
    </w:rPr>
  </w:style>
  <w:style w:type="character" w:customStyle="1" w:styleId="15">
    <w:name w:val="日期 Char"/>
    <w:basedOn w:val="10"/>
    <w:link w:val="4"/>
    <w:semiHidden/>
    <w:qFormat/>
    <w:locked/>
    <w:uiPriority w:val="99"/>
    <w:rPr>
      <w:rFonts w:cs="Times New Roman"/>
    </w:rPr>
  </w:style>
  <w:style w:type="character" w:customStyle="1" w:styleId="16">
    <w:name w:val="正文文本 Char"/>
    <w:basedOn w:val="10"/>
    <w:link w:val="2"/>
    <w:semiHidden/>
    <w:uiPriority w:val="0"/>
    <w:rPr>
      <w:rFonts w:ascii="Times New Roman" w:hAnsi="Times New Roman" w:eastAsia="小标宋"/>
      <w:kern w:val="2"/>
      <w:sz w:val="44"/>
    </w:rPr>
  </w:style>
  <w:style w:type="paragraph" w:customStyle="1" w:styleId="17">
    <w:name w:val="列出段落1"/>
    <w:basedOn w:val="1"/>
    <w:uiPriority w:val="0"/>
    <w:pPr>
      <w:ind w:firstLine="420" w:firstLineChars="200"/>
    </w:pPr>
    <w:rPr>
      <w:rFonts w:cs="Calibri"/>
      <w:szCs w:val="21"/>
    </w:rPr>
  </w:style>
  <w:style w:type="paragraph" w:customStyle="1" w:styleId="18">
    <w:name w:val="Char"/>
    <w:basedOn w:val="1"/>
    <w:uiPriority w:val="0"/>
    <w:pPr>
      <w:widowControl/>
      <w:spacing w:after="160" w:line="360" w:lineRule="auto"/>
    </w:pPr>
    <w:rPr>
      <w:rFonts w:ascii="楷体_GB2312" w:hAnsi="Verdana" w:eastAsia="楷体_GB2312"/>
      <w:kern w:val="0"/>
      <w:sz w:val="28"/>
      <w:szCs w:val="20"/>
      <w:lang w:eastAsia="en-US"/>
    </w:rPr>
  </w:style>
  <w:style w:type="paragraph" w:customStyle="1" w:styleId="19">
    <w:name w:val="p0"/>
    <w:basedOn w:val="1"/>
    <w:uiPriority w:val="0"/>
    <w:pPr>
      <w:widowControl/>
    </w:pPr>
    <w:rPr>
      <w:rFonts w:ascii="Times New Roman" w:hAnsi="Times New Roman"/>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5</Pages>
  <Words>322</Words>
  <Characters>1836</Characters>
  <Lines>15</Lines>
  <Paragraphs>4</Paragraphs>
  <TotalTime>8</TotalTime>
  <ScaleCrop>false</ScaleCrop>
  <LinksUpToDate>false</LinksUpToDate>
  <CharactersWithSpaces>2154</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2018-09-12T03:30:00Z</dcterms:created>
  <dc:creator>LSK</dc:creator>
  <dc:description>Shankar's Birthday falls on 25th July.  Don't Forget to wish him</dc:description>
  <cp:keywords>Birthday</cp:keywords>
  <cp:lastModifiedBy>Lenovo</cp:lastModifiedBy>
  <cp:lastPrinted>2018-09-11T01:43:00Z</cp:lastPrinted>
  <dcterms:modified xsi:type="dcterms:W3CDTF">2020-06-17T06:13:20Z</dcterms:modified>
  <dc:subject>Birthday</dc:subject>
  <dc:title>Are You suprised ?</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